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5A80" w14:textId="77777777" w:rsidR="00EA567D" w:rsidRDefault="00C26201" w:rsidP="00EA567D">
      <w:pPr>
        <w:pStyle w:val="a3"/>
        <w:ind w:right="-1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82F1A1" wp14:editId="307CA7B3">
            <wp:extent cx="1009650" cy="962025"/>
            <wp:effectExtent l="0" t="0" r="0" b="9525"/>
            <wp:docPr id="1" name="Picture 1" descr="ger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A1D6" w14:textId="77777777" w:rsidR="00E27077" w:rsidRDefault="00E27077" w:rsidP="00E27077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14:paraId="114A7792" w14:textId="77777777" w:rsidR="00E27077" w:rsidRDefault="00E27077" w:rsidP="00E27077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ՀԱՅԱՍՏԱՆԻ ՀԱՆՐԱՊԵՏՈՒԹՅԱՆ ԳԼԽԱՎՈՐ ԴԱՏԱԽԱԶՈՒԹՅՈՒՆ</w:t>
      </w:r>
    </w:p>
    <w:p w14:paraId="70D9D3EF" w14:textId="77777777" w:rsidR="00E27077" w:rsidRDefault="00E27077" w:rsidP="00E27077">
      <w:pPr>
        <w:pBdr>
          <w:top w:val="thinThickSmallGap" w:sz="24" w:space="1" w:color="auto"/>
        </w:pBdr>
        <w:jc w:val="center"/>
        <w:rPr>
          <w:rFonts w:ascii="GHEA Grapalat" w:hAnsi="GHEA Grapalat"/>
          <w:b/>
          <w:sz w:val="2"/>
          <w:szCs w:val="28"/>
          <w:lang w:val="en-US"/>
        </w:rPr>
      </w:pPr>
    </w:p>
    <w:p w14:paraId="6FA464FE" w14:textId="77777777" w:rsidR="00E27077" w:rsidRDefault="00E27077" w:rsidP="00E27077">
      <w:pPr>
        <w:ind w:right="-1"/>
        <w:jc w:val="right"/>
        <w:rPr>
          <w:rFonts w:ascii="GHEA Grapalat" w:hAnsi="GHEA Grapalat"/>
          <w:i/>
          <w:sz w:val="16"/>
          <w:szCs w:val="16"/>
          <w:lang w:val="en-US"/>
        </w:rPr>
      </w:pPr>
      <w:r>
        <w:rPr>
          <w:rFonts w:ascii="GHEA Grapalat" w:hAnsi="GHEA Grapalat"/>
          <w:i/>
          <w:sz w:val="16"/>
          <w:szCs w:val="16"/>
          <w:lang w:val="en-US"/>
        </w:rPr>
        <w:t xml:space="preserve">0010 ք. </w:t>
      </w:r>
      <w:r>
        <w:rPr>
          <w:rFonts w:ascii="GHEA Grapalat" w:hAnsi="GHEA Grapalat" w:cs="Sylfaen"/>
          <w:i/>
          <w:sz w:val="16"/>
          <w:szCs w:val="16"/>
          <w:lang w:val="en-US"/>
        </w:rPr>
        <w:t>Երևան</w:t>
      </w:r>
      <w:r>
        <w:rPr>
          <w:rFonts w:ascii="GHEA Grapalat" w:hAnsi="GHEA Grapalat"/>
          <w:i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Վ.Սարգսյան փ. 5</w:t>
      </w:r>
    </w:p>
    <w:p w14:paraId="30F2C517" w14:textId="52673626" w:rsidR="00E27077" w:rsidRDefault="00E27077" w:rsidP="00E27077">
      <w:pPr>
        <w:jc w:val="right"/>
        <w:rPr>
          <w:rFonts w:ascii="GHEA Grapalat" w:hAnsi="GHEA Grapalat"/>
          <w:i/>
          <w:sz w:val="16"/>
          <w:szCs w:val="16"/>
          <w:lang w:val="en-US"/>
        </w:rPr>
      </w:pPr>
    </w:p>
    <w:p w14:paraId="5C9538DA" w14:textId="63B2F65C" w:rsidR="002136CA" w:rsidRDefault="002136CA" w:rsidP="00E27077">
      <w:pPr>
        <w:jc w:val="right"/>
        <w:rPr>
          <w:rFonts w:ascii="GHEA Grapalat" w:hAnsi="GHEA Grapalat"/>
          <w:i/>
          <w:sz w:val="16"/>
          <w:szCs w:val="16"/>
          <w:lang w:val="en-US"/>
        </w:rPr>
      </w:pPr>
    </w:p>
    <w:p w14:paraId="2415374B" w14:textId="77777777" w:rsidR="00A87DCA" w:rsidRDefault="00A87DCA" w:rsidP="002E6BB9">
      <w:pPr>
        <w:ind w:left="5103"/>
        <w:jc w:val="right"/>
        <w:rPr>
          <w:rFonts w:ascii="GHEA Grapalat" w:hAnsi="GHEA Grapalat" w:cs="Sylfaen"/>
          <w:b/>
          <w:iCs/>
          <w:lang w:val="hy-AM"/>
        </w:rPr>
      </w:pPr>
    </w:p>
    <w:p w14:paraId="45C00A57" w14:textId="674D85DC" w:rsidR="002E6BB9" w:rsidRDefault="00EC60C5" w:rsidP="002E6BB9">
      <w:pPr>
        <w:ind w:left="5103"/>
        <w:jc w:val="right"/>
        <w:rPr>
          <w:rFonts w:ascii="GHEA Grapalat" w:hAnsi="GHEA Grapalat" w:cs="Sylfaen"/>
          <w:b/>
          <w:iCs/>
          <w:lang w:val="hy-AM"/>
        </w:rPr>
      </w:pPr>
      <w:r>
        <w:rPr>
          <w:rFonts w:ascii="GHEA Grapalat" w:hAnsi="GHEA Grapalat" w:cs="Sylfaen"/>
          <w:b/>
          <w:iCs/>
          <w:lang w:val="hy-AM"/>
        </w:rPr>
        <w:t xml:space="preserve">ԱԲՈՎՅԱՆ </w:t>
      </w:r>
      <w:r w:rsidRPr="0016786E">
        <w:rPr>
          <w:rFonts w:ascii="GHEA Grapalat" w:hAnsi="GHEA Grapalat" w:cs="Sylfaen"/>
          <w:b/>
          <w:iCs/>
          <w:lang w:val="hy-AM"/>
        </w:rPr>
        <w:t xml:space="preserve">ՀԱՄԱՅՆՔԻ </w:t>
      </w:r>
      <w:r w:rsidR="002E6BB9">
        <w:rPr>
          <w:rFonts w:ascii="GHEA Grapalat" w:hAnsi="GHEA Grapalat" w:cs="Sylfaen"/>
          <w:b/>
          <w:iCs/>
          <w:lang w:val="hy-AM"/>
        </w:rPr>
        <w:t>ԱՎԱԳԱՆՈՒՆ</w:t>
      </w:r>
    </w:p>
    <w:p w14:paraId="4BD7285A" w14:textId="1F31C77E" w:rsidR="002E6BB9" w:rsidRPr="002E6BB9" w:rsidRDefault="002E6BB9" w:rsidP="002E6BB9">
      <w:pPr>
        <w:ind w:left="5103"/>
        <w:jc w:val="right"/>
        <w:rPr>
          <w:rFonts w:ascii="GHEA Grapalat" w:eastAsiaTheme="minorHAnsi" w:hAnsi="GHEA Grapalat" w:cstheme="minorBidi"/>
          <w:lang w:val="hy-AM" w:eastAsia="en-US"/>
        </w:rPr>
      </w:pPr>
      <w:r w:rsidRPr="002E6BB9">
        <w:rPr>
          <w:rFonts w:ascii="GHEA Grapalat" w:eastAsiaTheme="minorHAnsi" w:hAnsi="GHEA Grapalat" w:cstheme="minorBidi"/>
          <w:lang w:val="hy-AM" w:eastAsia="en-US"/>
        </w:rPr>
        <w:t>(</w:t>
      </w:r>
      <w:r>
        <w:rPr>
          <w:rFonts w:ascii="GHEA Grapalat" w:eastAsiaTheme="minorHAnsi" w:hAnsi="GHEA Grapalat" w:cstheme="minorBidi"/>
          <w:lang w:val="hy-AM" w:eastAsia="en-US"/>
        </w:rPr>
        <w:t>ք</w:t>
      </w:r>
      <w:r w:rsidRPr="002E6BB9">
        <w:rPr>
          <w:rFonts w:ascii="GHEA Grapalat" w:eastAsiaTheme="minorHAnsi" w:hAnsi="GHEA Grapalat" w:cstheme="minorBidi"/>
          <w:lang w:val="hy-AM" w:eastAsia="en-US"/>
        </w:rPr>
        <w:t>. Աբովյան, Բարեկամության հրապ., 1)</w:t>
      </w:r>
    </w:p>
    <w:p w14:paraId="2C19BC23" w14:textId="77777777" w:rsidR="002E6BB9" w:rsidRDefault="002E6BB9" w:rsidP="002E6BB9">
      <w:pPr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273D9306" w14:textId="77777777" w:rsidR="002E6BB9" w:rsidRPr="00E64295" w:rsidRDefault="002E6BB9" w:rsidP="002E6BB9">
      <w:pPr>
        <w:tabs>
          <w:tab w:val="left" w:pos="1848"/>
        </w:tabs>
        <w:autoSpaceDE/>
        <w:autoSpaceDN/>
        <w:adjustRightInd/>
        <w:jc w:val="center"/>
        <w:rPr>
          <w:rFonts w:ascii="GHEA Grapalat" w:eastAsiaTheme="minorHAnsi" w:hAnsi="GHEA Grapalat" w:cstheme="minorBidi"/>
          <w:b/>
          <w:i/>
          <w:lang w:val="hy-AM" w:eastAsia="en-US"/>
        </w:rPr>
      </w:pPr>
      <w:r w:rsidRPr="00E64295">
        <w:rPr>
          <w:rFonts w:ascii="GHEA Grapalat" w:eastAsiaTheme="minorHAnsi" w:hAnsi="GHEA Grapalat" w:cstheme="minorBidi"/>
          <w:b/>
          <w:i/>
          <w:lang w:val="hy-AM" w:eastAsia="en-US"/>
        </w:rPr>
        <w:t>ԱՌԱՋԱՐԿՈՒԹՅՈՒՆ՝ ՀԱՅՑ ՆԵՐԿԱՅԱՑՆԵԼՈՒ ՎԵՐԱԲԵՐՅԱԼ</w:t>
      </w:r>
    </w:p>
    <w:p w14:paraId="003E10FE" w14:textId="77777777" w:rsidR="002E6BB9" w:rsidRPr="00E64295" w:rsidRDefault="002E6BB9" w:rsidP="002E6BB9">
      <w:pPr>
        <w:tabs>
          <w:tab w:val="left" w:pos="1848"/>
        </w:tabs>
        <w:autoSpaceDE/>
        <w:autoSpaceDN/>
        <w:adjustRightInd/>
        <w:rPr>
          <w:rFonts w:ascii="GHEA Grapalat" w:eastAsiaTheme="minorHAnsi" w:hAnsi="GHEA Grapalat" w:cstheme="minorBidi"/>
          <w:lang w:val="hy-AM" w:eastAsia="en-US"/>
        </w:rPr>
      </w:pPr>
    </w:p>
    <w:p w14:paraId="681EA282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«Դատախազության մասին» ՀՀ օրենքի 29-րդ հոդվածի 1-ին մասի համաձայն՝ «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Դատախազի կողմից պետական (համայնքային) շահերի պաշտպանության հայց հարուցելն ընդգրկում է՝</w:t>
      </w:r>
    </w:p>
    <w:p w14:paraId="7A4D44F1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(…)</w:t>
      </w:r>
    </w:p>
    <w:p w14:paraId="015AD97A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2) վարչական դատավարության կարգով պետության (համայնքի) գույքային և ոչ գույքային շահերի պաշտպանության հայցի հարուցումը</w:t>
      </w:r>
      <w:r w:rsidRPr="002800D7">
        <w:rPr>
          <w:rFonts w:ascii="GHEA Grapalat" w:eastAsiaTheme="minorHAnsi" w:hAnsi="GHEA Grapalat" w:cstheme="minorBidi"/>
          <w:lang w:val="hy-AM" w:eastAsia="en-US"/>
        </w:rPr>
        <w:t xml:space="preserve">. 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(…)»:</w:t>
      </w:r>
    </w:p>
    <w:p w14:paraId="1555BD9E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Նույն հոդվածի 2-րդ մասի համաձայն՝</w:t>
      </w:r>
    </w:p>
    <w:p w14:paraId="155814E5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«Դատախազը պետական (համայնքային) շահերի պաշտպանության հայց հարուցում է հետևյալ բացառիկ դեպքերում, երբ՝</w:t>
      </w:r>
    </w:p>
    <w:p w14:paraId="6F264089" w14:textId="5348AE1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1) իր լիազորություններն իրականացնելիս հայտնաբերում է, որ պետական կամ տեղական ինքնակառավարման մարմինը, որին վերապահված է պետական (համայնքային) շահերի պաշտպանությանն առնչվող տվյալ հարցերով հայց ներկայացնելը, իրազեկ լինելով պետական (համայնքային) շահերի խախտման փաստի մասին, դատախազի կողմից հայց ներկայացնելու առաջարկություն ստանալուց հետո ողջամիտ ժամկետում հայց չի ներկայացրել</w:t>
      </w:r>
      <w:r w:rsidRPr="002800D7">
        <w:rPr>
          <w:rFonts w:ascii="GHEA Grapalat" w:eastAsiaTheme="minorHAnsi" w:hAnsi="GHEA Grapalat" w:cstheme="minorBidi"/>
          <w:lang w:val="hy-AM" w:eastAsia="en-US"/>
        </w:rPr>
        <w:t>:</w:t>
      </w:r>
      <w:r w:rsidR="002800D7"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   </w:t>
      </w:r>
    </w:p>
    <w:p w14:paraId="2986B7D4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«Տեղական ինքնակառավարման մասին» ՀՀ օրենքի 18-րդ հոդվածի 1-ին մասի համաձայն՝</w:t>
      </w:r>
    </w:p>
    <w:p w14:paraId="3046F90A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«Համայնքի ավագանին սույն օրենքով սահմանված կարգով</w:t>
      </w:r>
    </w:p>
    <w:p w14:paraId="39896752" w14:textId="77777777" w:rsidR="00A87DCA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>(…)</w:t>
      </w:r>
    </w:p>
    <w:p w14:paraId="20AA5CB7" w14:textId="0478B86A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lastRenderedPageBreak/>
        <w:t>10) դատական կարգով կարող է վիճարկել Հայաստանի Հանրապետության Սահմանադրությանը, օրենքներին և համայնքի ավագանու որոշումներին հակասող` համայնքի ղեկավարի որոշումները.»:</w:t>
      </w:r>
      <w:r w:rsidR="002800D7"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   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 </w:t>
      </w:r>
    </w:p>
    <w:p w14:paraId="42B39C11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ՀՀ Վճռաբեկ դատարանն իր 2024 թվականի մայիսի 10-ի թիվ ՎԴ2/0250/05/23 որոշմամբ անդրադառնալով համայնքային շահերի հայց հարուցելու լիազորության իրականացմանը՝ նշել է հետևյալը.</w:t>
      </w:r>
    </w:p>
    <w:p w14:paraId="7F770BDE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«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(…) երբ դատախազը իր լիազորություններն իրականացնելիս հայտնաբերել է համայնքի ղեկավարի կողմից համայնքային շահերի խախտման փաստ, պարտավոր է հայց ներկայացնելու առաջարկությամբ դիմել համայնքի ավագանուն, քանի որ վերջինիս է վերապահված համայնքային շահերի պաշտպանությանն առնչվող տվյալ հարցերով </w:t>
      </w:r>
      <w:r w:rsidRPr="002800D7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հայց ներկայացնելու առաջնային իրավասությունը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: Եթե դատախազի կողմից հայց ներկայացնելու առաջարկություն ստանալուց հետո համայնքի ավագանին ողջամիտ ժամկետում հայց չի ներկայացրել դատարան, ապա միայն այդ պայմաններում է դատախազությունը ձեռք բերում համայնքային շահերի պաշտպանության հայց ներկայացնելու իրավունք</w:t>
      </w:r>
      <w:r w:rsidRPr="002800D7">
        <w:rPr>
          <w:rFonts w:ascii="GHEA Grapalat" w:eastAsiaTheme="minorHAnsi" w:hAnsi="GHEA Grapalat" w:cstheme="minorBidi"/>
          <w:lang w:val="hy-AM" w:eastAsia="en-US"/>
        </w:rPr>
        <w:t>:</w:t>
      </w:r>
      <w:r w:rsidRPr="002800D7">
        <w:rPr>
          <w:rFonts w:ascii="GHEA Grapalat" w:eastAsiaTheme="minorHAnsi" w:hAnsi="GHEA Grapalat" w:cs="Sylfaen"/>
          <w:lang w:val="hy-AM" w:eastAsia="en-US"/>
        </w:rPr>
        <w:t>»:</w:t>
      </w:r>
    </w:p>
    <w:p w14:paraId="150F3FBC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ՀՀ Վճռաբեկ դատարանն իր նույն որոշմամբ, անդրադառնալով որևէ այլ պետական կամ տեղական ինքնակառավարման մարմնի կողմից դատախազության առաջարկի հիման վրա վարչական դատավարության կարգով պետական (համայնքային) շահերի պաշտպանության հայց հարուցելու ժամկետներին, նշել է.</w:t>
      </w:r>
    </w:p>
    <w:p w14:paraId="050CBAFC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«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(…) մի շարք դեպքերում օրենսդիրը պետական (համայնքային) շահերի պաշտպանության հայց հարուցելու առաջնային լիազորությունը վերապահել է այն պետական կամ տեղական ինքնակառավարման մարմնին, որի իրավասությունների ոլորտում պետությանը (համայնքին) պատճառվել է գույքային վնաս:</w:t>
      </w:r>
    </w:p>
    <w:p w14:paraId="546E050D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Ուստի այն դեպքում, երբ պետական (համայնքային) շահերի պաշտպանությանն առնչվող տվյալ հարցով հայց ներկայացնելը վերապահված է որևէ պետական կամ տեղական ինքնակառավարման մարմնի, դատախազը, </w:t>
      </w:r>
      <w:r w:rsidRPr="002800D7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նախ պետք է պետական (համայնքային) շահերի պաշտպանության հայց ներկայացնելու առաջարկություն կատարի համապատասխան պետական կամ տեղական ինքնակառավարման մարմնին։</w:t>
      </w:r>
    </w:p>
    <w:p w14:paraId="1BC4A3B5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(…) Վճռաբեկ դատարանն արձանագրում է, որ դատախազի ներկայացրած առաջարկությունը ստանալուց հետո պետական շահերի պաշտպանությանն առնչվող 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lastRenderedPageBreak/>
        <w:t xml:space="preserve">համապատասխան հայցով դատարան դիմելու պետական կամ տեղական ինքնակառավարման մարմնի իրավասությունը սահմանափակված է </w:t>
      </w:r>
      <w:r w:rsidRPr="002800D7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ողջամիտ ժամկետով, որը տվյալ պարագայում Վճռաբեկ դատարանի գնահատմամբ պետք է հաշվարկվի համապատասխան հայցատեսակի դեպքում ՀՀ վարչական դատավարության օրենսգրքով նախատեսված ժամկետներով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։ </w:t>
      </w:r>
    </w:p>
    <w:p w14:paraId="61C92461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/>
          <w:lang w:val="hy-AM" w:eastAsia="en-US"/>
        </w:rPr>
      </w:pPr>
      <w:r w:rsidRPr="002800D7">
        <w:rPr>
          <w:rFonts w:ascii="GHEA Grapalat" w:eastAsiaTheme="minorHAnsi" w:hAnsi="GHEA Grapalat" w:cstheme="minorBidi"/>
          <w:i/>
          <w:lang w:val="hy-AM" w:eastAsia="en-US"/>
        </w:rPr>
        <w:t xml:space="preserve">Ընդ որում, տվյալ ժամկետի հաշվարկման ելակետը պետք է պայմանավորել </w:t>
      </w:r>
      <w:r w:rsidRPr="002800D7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դատախազի կողմից ներկայացված առաջարկությունը ստանալու պահով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։</w:t>
      </w:r>
    </w:p>
    <w:p w14:paraId="7C857DF8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Cs/>
          <w:lang w:val="hy-AM" w:eastAsia="en-US"/>
        </w:rPr>
      </w:pPr>
      <w:r w:rsidRPr="002800D7">
        <w:rPr>
          <w:rFonts w:ascii="GHEA Grapalat" w:eastAsiaTheme="minorHAnsi" w:hAnsi="GHEA Grapalat" w:cstheme="minorBidi"/>
          <w:iCs/>
          <w:lang w:val="hy-AM" w:eastAsia="en-US"/>
        </w:rPr>
        <w:t>Այլ կերպ ասած՝ եթե պետական կամ տեղական ինքակառավարման մարմինը ստացել է դատախազի առաջարկությունը՝ պետական շահերի պաշտպանությանն առնչվող հարցով դատարան դիմելու վերաբերյալ, ապա տվյալ մարմինը առաջարկությունը ստանալուց հետո ՀՀ վարչական դատավարության օրենսգրքով հայց ներկայացնելու ժամկետների պահպանմամբ պետք է դիմի ՀՀ վարչական դատարան, որպիսի ժամկետներում ներկայացված հայցը կհամարվի ողջամիտ ժամկետում ներկայացված։</w:t>
      </w:r>
    </w:p>
    <w:p w14:paraId="283E800B" w14:textId="53BEF6F4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iCs/>
          <w:lang w:val="hy-AM" w:eastAsia="en-US"/>
        </w:rPr>
      </w:pPr>
      <w:r w:rsidRPr="002800D7">
        <w:rPr>
          <w:rFonts w:ascii="GHEA Grapalat" w:eastAsiaTheme="minorHAnsi" w:hAnsi="GHEA Grapalat" w:cstheme="minorBidi"/>
          <w:iCs/>
          <w:lang w:val="hy-AM" w:eastAsia="en-US"/>
        </w:rPr>
        <w:t xml:space="preserve">Այսինքն՝ համայնքի ղեկավարի վարչական ակտի, գործողության կամ անգործության կապակցությամբ դատախազը իրավասու է համայնքային շահերի պաշտպանության հայց հարուցել միայն այն պայմաններում, երբ վերջինս հայց ներկայացնելու առաջարկություն է ներկայացրել համայնքի ավագանուն, իսկ </w:t>
      </w:r>
      <w:r w:rsidRPr="002800D7">
        <w:rPr>
          <w:rFonts w:ascii="GHEA Grapalat" w:eastAsiaTheme="minorHAnsi" w:hAnsi="GHEA Grapalat" w:cstheme="minorBidi"/>
          <w:b/>
          <w:iCs/>
          <w:u w:val="single"/>
          <w:lang w:val="hy-AM" w:eastAsia="en-US"/>
        </w:rPr>
        <w:t>համայնքի ավագանին ողջամիտ ժամկետում հայց չի ներկայացրել</w:t>
      </w:r>
      <w:r w:rsidRPr="002800D7">
        <w:rPr>
          <w:rFonts w:ascii="GHEA Grapalat" w:eastAsiaTheme="minorHAnsi" w:hAnsi="GHEA Grapalat" w:cstheme="minorBidi"/>
          <w:iCs/>
          <w:lang w:val="hy-AM" w:eastAsia="en-US"/>
        </w:rPr>
        <w:t>, այլ կերպ ասած՝ դրսևորել է անգործություն, որպիսի պայմաններում կարելի է փաստել օրենքով նախատեսված բացառիկ դեպքի և ըստ այդմ՝ պետական (համայնքային) շահերի պաշտպանության հայց ներկայացնելու լիազորությունը իրացնելու համար անհրաժեշտ նախապայմանների առկայության մասին»:</w:t>
      </w:r>
    </w:p>
    <w:p w14:paraId="08AC71CC" w14:textId="1A92EDE8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Տվյալ դեպքում, պետու</w:t>
      </w:r>
      <w:r w:rsidR="00782A8A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թ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յան գույքային շահերի արդյունավետ պաշտպանությունն ապահովելու և պետական</w:t>
      </w:r>
      <w:r w:rsidR="002800D7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(համայնքային</w:t>
      </w:r>
      <w:r w:rsidRPr="002800D7">
        <w:rPr>
          <w:rFonts w:ascii="GHEA Grapalat" w:hAnsi="GHEA Grapalat" w:cs="Times New Roman"/>
          <w:color w:val="000000" w:themeColor="text1"/>
          <w:lang w:val="hy-AM" w:eastAsia="en-US"/>
        </w:rPr>
        <w:t>) շահերի պաշտպանության հայց հարուցելու լիազորությունների շրջանակ</w:t>
      </w:r>
      <w:r w:rsidR="00782A8A" w:rsidRPr="002800D7">
        <w:rPr>
          <w:rFonts w:ascii="GHEA Grapalat" w:hAnsi="GHEA Grapalat" w:cs="Times New Roman"/>
          <w:color w:val="000000" w:themeColor="text1"/>
          <w:lang w:val="hy-AM" w:eastAsia="en-US"/>
        </w:rPr>
        <w:t>ներ</w:t>
      </w:r>
      <w:r w:rsidRPr="002800D7">
        <w:rPr>
          <w:rFonts w:ascii="GHEA Grapalat" w:hAnsi="GHEA Grapalat" w:cs="Times New Roman"/>
          <w:color w:val="000000" w:themeColor="text1"/>
          <w:lang w:val="hy-AM" w:eastAsia="en-US"/>
        </w:rPr>
        <w:t>ում իրականացված ուսումնասիրության ընթացքում պարզվել է</w:t>
      </w:r>
      <w:r w:rsidRPr="002800D7">
        <w:rPr>
          <w:rFonts w:ascii="GHEA Grapalat" w:eastAsiaTheme="minorEastAsia" w:hAnsi="GHEA Grapalat" w:cstheme="minorBidi"/>
          <w:color w:val="000000" w:themeColor="text1"/>
          <w:lang w:val="hy-AM"/>
        </w:rPr>
        <w:t>,</w:t>
      </w:r>
      <w:r w:rsidRPr="002800D7">
        <w:rPr>
          <w:rFonts w:ascii="GHEA Grapalat" w:hAnsi="GHEA Grapalat" w:cs="Times New Roman"/>
          <w:color w:val="000000" w:themeColor="text1"/>
          <w:lang w:val="hy-AM" w:eastAsia="en-US"/>
        </w:rPr>
        <w:t xml:space="preserve"> 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որ ՀՀ Կոտայքի մարզ, Աբովյան համայնք, Աբովյան քաղաք, Սահմա</w:t>
      </w:r>
      <w:r w:rsidR="00782A8A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ն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ադրության հրապարակ թիվ 12 հասցեում գտնվող գործող կադաստրային քարտեզում 07-002-0066-0252 կադաստրային ծածկագրով արտացոլված քաղաքացի Լևոն Հակոբի Ժամհարյանին սեփականության իրավունքով (վկայական՝ թիվ 01112013-07-0018) պատկանող անշարժ գույքի տեղեկատվական համակարգի տվյալների 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lastRenderedPageBreak/>
        <w:t>համաձայն առաջին իրավունքների պետական գրանցումը կատարվել է ՀՀ կոտայքի մարզի Աբովյան քաղաքային համայնքի անվամբ</w:t>
      </w:r>
      <w:r w:rsidR="00782A8A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: </w:t>
      </w:r>
    </w:p>
    <w:p w14:paraId="4759EB55" w14:textId="3C7ADEE8" w:rsidR="00782A8A" w:rsidRPr="002800D7" w:rsidRDefault="00782A8A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Այնուհետև Աբովյանի քաղաքապետի կողմից 2013 թվականի օգոստոսի 30-ին կայացվել է «Աբովյան քաղաքային համայնքի սեփականություն հանդիսացող Սահմանադրության հրապարակի թիվ 12 հասցեում գտնվող հասարակական նշանակության շինություններն ու դրանց պահպանման ու սպասարկման համար առանձնացված հողամասն ուղղակի վաճառքով օտարելու մասին» թիվ 736 որոշումը</w:t>
      </w:r>
      <w:r w:rsidR="00A87DCA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(այսուհետ նաև՝ Որոշում)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: </w:t>
      </w:r>
    </w:p>
    <w:p w14:paraId="7BECA14A" w14:textId="322A7FD8" w:rsidR="00A87DCA" w:rsidRPr="002800D7" w:rsidRDefault="00A87DCA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Որոշման 1-ին կետի համաձայն՝ «Աբովյանի քաղաքային համայնքի սեփականություն հանդիսացող Սահմանադրության հրապարակի թիվ 12 հասցեում գտնվող 22.26 քմ. և 8.1 քմ մակերեսներով հասարակական նշանակության շիությունները և դրանց պահպանման ու սպասարկման համար առանձնացված 79.84 քմ. մակերեսով հողամասը գնման նախապատվության իրավունքով ուղղակի վաճառքով օտարել կառույցն իրականցրած Լևոն Ժամհարյանին»::</w:t>
      </w:r>
      <w:r w:rsidR="002800D7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</w:t>
      </w:r>
    </w:p>
    <w:p w14:paraId="714070AA" w14:textId="35ABCF39" w:rsidR="00782A8A" w:rsidRPr="002800D7" w:rsidRDefault="00782A8A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</w:t>
      </w:r>
      <w:r w:rsidR="00A87DCA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Որոշման 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>հիման վրա 2013 թվականի նոյեմբերի 1-ին նշված անշարժ գույքի նկատմամբ</w:t>
      </w:r>
      <w:r w:rsidR="002800D7"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 </w:t>
      </w: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կատարվել է իրավունքների պետական գրանցում: </w:t>
      </w:r>
    </w:p>
    <w:p w14:paraId="760B40A4" w14:textId="77777777" w:rsidR="00A87DCA" w:rsidRPr="002800D7" w:rsidRDefault="00782A8A" w:rsidP="00A87DCA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 w:themeColor="text1"/>
          <w:lang w:val="hy-AM" w:eastAsia="en-US"/>
        </w:rPr>
        <w:t xml:space="preserve">ՀՀ Կոտայքի մարզի Աբովյան համայնքի ղեկավարի 2025 թվականի ապրիլի 3-ի թիվ Ե-2441 գրության համաձայն՝ թիվ 07-002-0066-0252 կադաստրային ծածկագրով հողամասը ընդգրկված է ՀՀ հողային օրենսգրքի 60-րդ հոդվածով սահմանված հողամասերի ցանկում և հանդիսանում են զբոսայգիների, պուրակների տարածքներ: </w:t>
      </w:r>
    </w:p>
    <w:p w14:paraId="374E99C9" w14:textId="712365F4" w:rsidR="002E6BB9" w:rsidRPr="002800D7" w:rsidRDefault="002E6BB9" w:rsidP="00A87DCA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>ՀՀ հողային օրենսգրքի 60-րդ հոդվածի 6-րդ մասի համաձայն՝ «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Արգելվում է քաղաքացիներին և իրավաբանական անձանց սեփականության իրավունքով փոխանցել պետական և համայնքային սեփականություն հանդիսացող այն հողամասերը, որոնք</w:t>
      </w:r>
      <w:r w:rsidRPr="002800D7">
        <w:rPr>
          <w:rFonts w:ascii="GHEA Grapalat" w:eastAsiaTheme="minorHAnsi" w:hAnsi="GHEA Grapalat" w:cstheme="minorBidi"/>
          <w:lang w:val="hy-AM" w:eastAsia="en-US"/>
        </w:rPr>
        <w:t xml:space="preserve"> </w:t>
      </w:r>
      <w:r w:rsidRPr="002800D7">
        <w:rPr>
          <w:rFonts w:ascii="GHEA Grapalat" w:eastAsiaTheme="minorHAnsi" w:hAnsi="GHEA Grapalat" w:cstheme="minorBidi"/>
          <w:i/>
          <w:lang w:val="hy-AM" w:eastAsia="en-US"/>
        </w:rPr>
        <w:t>բնակավայրերում ընդհանուր օգտագործման հողեր են (հրապարակներ, փողոցներ, ճանապարհներ, գետափեր, զբոսայգիներ, պուրակներ, այգիներ, լողափեր և ընդհանուր օգտագործման այլ տարածքներ)</w:t>
      </w:r>
      <w:r w:rsidRPr="002800D7">
        <w:rPr>
          <w:rFonts w:ascii="GHEA Grapalat" w:eastAsiaTheme="minorHAnsi" w:hAnsi="GHEA Grapalat" w:cstheme="minorBidi"/>
          <w:lang w:val="hy-AM" w:eastAsia="en-US"/>
        </w:rPr>
        <w:t>:»:</w:t>
      </w:r>
    </w:p>
    <w:p w14:paraId="5D6E725C" w14:textId="39B0C0D3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720"/>
        <w:contextualSpacing/>
        <w:jc w:val="both"/>
        <w:rPr>
          <w:rFonts w:ascii="GHEA Grapalat" w:eastAsiaTheme="minorHAnsi" w:hAnsi="GHEA Grapalat" w:cstheme="minorBidi"/>
          <w:color w:val="000000" w:themeColor="text1"/>
          <w:lang w:val="hy-AM" w:eastAsia="en-US"/>
        </w:rPr>
      </w:pPr>
      <w:r w:rsidRPr="002800D7">
        <w:rPr>
          <w:rFonts w:ascii="GHEA Grapalat" w:eastAsiaTheme="minorHAnsi" w:hAnsi="GHEA Grapalat" w:cstheme="minorBidi"/>
          <w:lang w:val="hy-AM" w:eastAsia="en-US"/>
        </w:rPr>
        <w:t xml:space="preserve">Վերոհիշյալ հոդվածի բովանդակային վերլուծությունից հետևում է, որ ընդհանուր օգտագործման տարածքները, այդ թվում՝ հասարակական օգտագործման համար նախատեսված </w:t>
      </w:r>
      <w:r w:rsidR="002800D7" w:rsidRPr="002800D7">
        <w:rPr>
          <w:rFonts w:ascii="GHEA Grapalat" w:eastAsiaTheme="minorHAnsi" w:hAnsi="GHEA Grapalat" w:cstheme="minorBidi"/>
          <w:lang w:val="hy-AM" w:eastAsia="en-US"/>
        </w:rPr>
        <w:t xml:space="preserve">զբոսայգիների, պուրակների տարածքները </w:t>
      </w:r>
      <w:r w:rsidRPr="002800D7">
        <w:rPr>
          <w:rFonts w:ascii="GHEA Grapalat" w:eastAsiaTheme="minorHAnsi" w:hAnsi="GHEA Grapalat" w:cstheme="minorBidi"/>
          <w:lang w:val="hy-AM" w:eastAsia="en-US"/>
        </w:rPr>
        <w:t xml:space="preserve">չեն կարող լինել սեփականության իրավունքով այլ անձի փոխանցման առարկա, ուստի ենթակա չեն </w:t>
      </w:r>
      <w:r w:rsidRPr="002800D7">
        <w:rPr>
          <w:rFonts w:ascii="GHEA Grapalat" w:eastAsiaTheme="minorHAnsi" w:hAnsi="GHEA Grapalat" w:cstheme="minorBidi"/>
          <w:lang w:val="hy-AM" w:eastAsia="en-US"/>
        </w:rPr>
        <w:lastRenderedPageBreak/>
        <w:t xml:space="preserve">օտարման, մինչդեռ օրենսդրությամբ նախատեսված նման արգելքի պայմաններում օտարման ոչ ենթակա հողամասն օտարվել է: </w:t>
      </w:r>
    </w:p>
    <w:p w14:paraId="7126120E" w14:textId="77777777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color w:val="000000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Վերոգրյալ փաստական հանգամանքների և իրավական նորմերի համադրված վերլուծությունից հետևում է, </w:t>
      </w:r>
      <w:r w:rsidRPr="002800D7">
        <w:rPr>
          <w:rFonts w:ascii="GHEA Grapalat" w:eastAsiaTheme="minorHAnsi" w:hAnsi="GHEA Grapalat" w:cstheme="minorBidi"/>
          <w:lang w:val="hy-AM" w:eastAsia="en-US"/>
        </w:rPr>
        <w:t xml:space="preserve">որ համայնքի ղեկավարի վերոհիշյալ որոշմամբ խախտվել են համայնքի շահերը, ուստի առաջարկում եմ </w:t>
      </w:r>
      <w:r w:rsidRPr="002800D7">
        <w:rPr>
          <w:rFonts w:ascii="GHEA Grapalat" w:eastAsia="MS Gothic" w:hAnsi="GHEA Grapalat" w:cs="MS Gothic"/>
          <w:b/>
          <w:i/>
          <w:u w:val="single"/>
          <w:lang w:val="hy-AM" w:eastAsia="en-US"/>
        </w:rPr>
        <w:t xml:space="preserve">սույն առաջարկությունը ստանալու պահից </w:t>
      </w:r>
      <w:r w:rsidRPr="002800D7">
        <w:rPr>
          <w:rFonts w:ascii="GHEA Grapalat" w:eastAsiaTheme="minorHAnsi" w:hAnsi="GHEA Grapalat" w:cstheme="minorBidi"/>
          <w:b/>
          <w:i/>
          <w:u w:val="single"/>
          <w:lang w:val="hy-AM" w:eastAsia="en-US"/>
        </w:rPr>
        <w:t>մեկամսյա ժամկետում</w:t>
      </w:r>
      <w:r w:rsidRPr="002800D7">
        <w:rPr>
          <w:rFonts w:ascii="GHEA Grapalat" w:eastAsiaTheme="minorHAnsi" w:hAnsi="GHEA Grapalat" w:cstheme="minorBidi"/>
          <w:lang w:val="hy-AM" w:eastAsia="en-US"/>
        </w:rPr>
        <w:t xml:space="preserve"> համայնքային շահերի պաշտպանության </w:t>
      </w:r>
      <w:r w:rsidRPr="002800D7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հայց հարուցել իրավասու դատարան և հարուցված հայցի մասին նույն օրը հայտնել ՀՀ գլխավոր դատախազություն, իսկ հայց չհարուցելու պարագայում նույն ժամկետում այդ մասին տեղեկացնել ՀՀ գլխավոր դատախազությանը: </w:t>
      </w:r>
    </w:p>
    <w:p w14:paraId="5C8F8CBC" w14:textId="0CBC78EC" w:rsidR="002E6BB9" w:rsidRPr="002800D7" w:rsidRDefault="002E6BB9" w:rsidP="002E6BB9">
      <w:pPr>
        <w:tabs>
          <w:tab w:val="left" w:pos="1848"/>
        </w:tabs>
        <w:autoSpaceDE/>
        <w:autoSpaceDN/>
        <w:adjustRightInd/>
        <w:spacing w:line="360" w:lineRule="auto"/>
        <w:ind w:firstLine="567"/>
        <w:contextualSpacing/>
        <w:jc w:val="both"/>
        <w:rPr>
          <w:rFonts w:ascii="GHEA Grapalat" w:eastAsiaTheme="minorHAnsi" w:hAnsi="GHEA Grapalat" w:cstheme="minorBidi"/>
          <w:color w:val="000000"/>
          <w:lang w:val="hy-AM" w:eastAsia="en-US"/>
        </w:rPr>
      </w:pPr>
      <w:r w:rsidRPr="002800D7">
        <w:rPr>
          <w:rFonts w:ascii="GHEA Grapalat" w:eastAsiaTheme="minorHAnsi" w:hAnsi="GHEA Grapalat" w:cstheme="minorBidi"/>
          <w:color w:val="000000"/>
          <w:lang w:val="hy-AM" w:eastAsia="en-US"/>
        </w:rPr>
        <w:t>Միաժամանակ տեղեկացնում եմ, որ մեկամսյա ժամկետում հարուցված հայցի մասին տեղեկատվության բացակայության դեպքում դատախազությունը ձեռնամուխ կլինի «Դատախազության մասին» ՀՀ օրենքի 29-րդ հոդվածի 2-րդ մասի 1-ին կետի հիմքով հայց հարուցելու լիազորության իրացմանը:</w:t>
      </w:r>
      <w:r w:rsidR="002800D7" w:rsidRPr="002800D7">
        <w:rPr>
          <w:rFonts w:ascii="GHEA Grapalat" w:eastAsiaTheme="minorHAnsi" w:hAnsi="GHEA Grapalat" w:cstheme="minorBidi"/>
          <w:color w:val="000000"/>
          <w:lang w:val="hy-AM" w:eastAsia="en-US"/>
        </w:rPr>
        <w:t xml:space="preserve"> </w:t>
      </w:r>
    </w:p>
    <w:p w14:paraId="01B04B02" w14:textId="77777777" w:rsidR="002E6BB9" w:rsidRDefault="002E6BB9" w:rsidP="002800D7">
      <w:pPr>
        <w:spacing w:line="276" w:lineRule="auto"/>
        <w:jc w:val="both"/>
        <w:rPr>
          <w:rFonts w:ascii="GHEA Grapalat" w:hAnsi="GHEA Grapalat" w:cs="Sylfaen"/>
          <w:lang w:val="hy-AM"/>
        </w:rPr>
      </w:pPr>
    </w:p>
    <w:p w14:paraId="626D6AD6" w14:textId="77777777" w:rsidR="002136CA" w:rsidRPr="00D12454" w:rsidRDefault="002136CA" w:rsidP="00A87DCA">
      <w:pPr>
        <w:spacing w:line="276" w:lineRule="auto"/>
        <w:jc w:val="both"/>
        <w:rPr>
          <w:rFonts w:ascii="GHEA Grapalat" w:hAnsi="GHEA Grapalat" w:cs="Sylfaen"/>
          <w:b/>
          <w:bCs/>
          <w:lang w:val="hy-AM"/>
        </w:rPr>
      </w:pPr>
    </w:p>
    <w:p w14:paraId="1AA877A0" w14:textId="77777777" w:rsidR="002136CA" w:rsidRPr="00D12454" w:rsidRDefault="002136CA" w:rsidP="002136CA">
      <w:pPr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 w:rsidRPr="00D12454">
        <w:rPr>
          <w:rFonts w:ascii="GHEA Grapalat" w:hAnsi="GHEA Grapalat" w:cs="Sylfaen"/>
          <w:b/>
          <w:bCs/>
          <w:lang w:val="hy-AM"/>
        </w:rPr>
        <w:t xml:space="preserve">ՀԱՐԳԱՆՔՈՎ, </w:t>
      </w:r>
    </w:p>
    <w:p w14:paraId="4C01ED78" w14:textId="77777777" w:rsidR="002136CA" w:rsidRPr="00D12454" w:rsidRDefault="002136CA" w:rsidP="002136CA">
      <w:pPr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 w:rsidRPr="00D12454">
        <w:rPr>
          <w:rFonts w:ascii="GHEA Grapalat" w:hAnsi="GHEA Grapalat" w:cs="Sylfaen"/>
          <w:b/>
          <w:bCs/>
          <w:lang w:val="af-ZA"/>
        </w:rPr>
        <w:t>ՊԵՏԱԿԱՆ</w:t>
      </w:r>
      <w:r w:rsidRPr="00D12454">
        <w:rPr>
          <w:rFonts w:ascii="GHEA Grapalat" w:hAnsi="GHEA Grapalat"/>
          <w:b/>
          <w:bCs/>
          <w:lang w:val="af-ZA"/>
        </w:rPr>
        <w:t xml:space="preserve"> </w:t>
      </w:r>
      <w:r w:rsidRPr="00D12454">
        <w:rPr>
          <w:rFonts w:ascii="GHEA Grapalat" w:hAnsi="GHEA Grapalat" w:cs="Sylfaen"/>
          <w:b/>
          <w:bCs/>
          <w:lang w:val="af-ZA"/>
        </w:rPr>
        <w:t>ՇԱՀԵՐԻ</w:t>
      </w:r>
      <w:r w:rsidRPr="00D12454">
        <w:rPr>
          <w:rFonts w:ascii="GHEA Grapalat" w:hAnsi="GHEA Grapalat"/>
          <w:b/>
          <w:bCs/>
          <w:lang w:val="af-ZA"/>
        </w:rPr>
        <w:t xml:space="preserve"> </w:t>
      </w:r>
      <w:r w:rsidRPr="00D12454">
        <w:rPr>
          <w:rFonts w:ascii="GHEA Grapalat" w:hAnsi="GHEA Grapalat" w:cs="Sylfaen"/>
          <w:b/>
          <w:bCs/>
          <w:lang w:val="af-ZA"/>
        </w:rPr>
        <w:t>ՊԱՇՏՊԱՆՈՒԹՅԱՆ</w:t>
      </w:r>
    </w:p>
    <w:p w14:paraId="01000537" w14:textId="7B0DCFC8" w:rsidR="002136CA" w:rsidRDefault="002136CA" w:rsidP="002136CA">
      <w:pPr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af-ZA"/>
        </w:rPr>
      </w:pPr>
      <w:r w:rsidRPr="00D12454">
        <w:rPr>
          <w:rFonts w:ascii="GHEA Grapalat" w:hAnsi="GHEA Grapalat" w:cs="Sylfaen"/>
          <w:b/>
          <w:bCs/>
          <w:lang w:val="af-ZA"/>
        </w:rPr>
        <w:t>ՎԱՐՉՈՒԹՅԱՆ</w:t>
      </w:r>
      <w:r w:rsidRPr="00D12454">
        <w:rPr>
          <w:rFonts w:ascii="GHEA Grapalat" w:hAnsi="GHEA Grapalat"/>
          <w:b/>
          <w:bCs/>
          <w:lang w:val="af-ZA"/>
        </w:rPr>
        <w:t xml:space="preserve"> </w:t>
      </w:r>
      <w:r w:rsidRPr="00D12454">
        <w:rPr>
          <w:rFonts w:ascii="GHEA Grapalat" w:hAnsi="GHEA Grapalat" w:cs="Sylfaen"/>
          <w:b/>
          <w:bCs/>
          <w:lang w:val="af-ZA"/>
        </w:rPr>
        <w:t>ՊԵՏ</w:t>
      </w:r>
      <w:r w:rsidRPr="00D12454">
        <w:rPr>
          <w:rFonts w:ascii="GHEA Grapalat" w:hAnsi="GHEA Grapalat" w:cs="Sylfaen"/>
          <w:b/>
          <w:bCs/>
          <w:lang w:val="hy-AM"/>
        </w:rPr>
        <w:t>՝</w:t>
      </w:r>
      <w:r w:rsidR="002800D7">
        <w:rPr>
          <w:rFonts w:ascii="GHEA Grapalat" w:hAnsi="GHEA Grapalat"/>
          <w:b/>
          <w:bCs/>
          <w:lang w:val="af-ZA"/>
        </w:rPr>
        <w:t xml:space="preserve">  </w:t>
      </w:r>
      <w:r w:rsidRPr="00D12454">
        <w:rPr>
          <w:rFonts w:ascii="GHEA Grapalat" w:hAnsi="GHEA Grapalat"/>
          <w:b/>
          <w:bCs/>
          <w:lang w:val="af-ZA"/>
        </w:rPr>
        <w:tab/>
      </w:r>
      <w:r w:rsidRPr="00D12454">
        <w:rPr>
          <w:rFonts w:ascii="GHEA Grapalat" w:hAnsi="GHEA Grapalat"/>
          <w:b/>
          <w:bCs/>
          <w:lang w:val="af-ZA"/>
        </w:rPr>
        <w:tab/>
      </w:r>
      <w:r w:rsidRPr="00D12454">
        <w:rPr>
          <w:rFonts w:ascii="GHEA Grapalat" w:hAnsi="GHEA Grapalat"/>
          <w:b/>
          <w:bCs/>
          <w:lang w:val="af-ZA"/>
        </w:rPr>
        <w:tab/>
      </w:r>
      <w:r w:rsidRPr="00D12454">
        <w:rPr>
          <w:rFonts w:ascii="GHEA Grapalat" w:hAnsi="GHEA Grapalat"/>
          <w:b/>
          <w:bCs/>
          <w:lang w:val="af-ZA"/>
        </w:rPr>
        <w:tab/>
      </w:r>
      <w:r w:rsidRPr="00D12454">
        <w:rPr>
          <w:rFonts w:ascii="GHEA Grapalat" w:hAnsi="GHEA Grapalat" w:cs="Sylfaen"/>
          <w:b/>
          <w:bCs/>
          <w:lang w:val="hy-AM"/>
        </w:rPr>
        <w:t>ՏԱԹԵՎԻԿ ՍԱՐՈՒԽԱՆՅԱՆ</w:t>
      </w:r>
      <w:r w:rsidRPr="00D12454">
        <w:rPr>
          <w:rFonts w:ascii="GHEA Grapalat" w:hAnsi="GHEA Grapalat" w:cs="Sylfaen"/>
          <w:b/>
          <w:bCs/>
          <w:lang w:val="af-ZA"/>
        </w:rPr>
        <w:t xml:space="preserve"> </w:t>
      </w:r>
    </w:p>
    <w:p w14:paraId="5BE91B5F" w14:textId="18CC0520" w:rsidR="00397202" w:rsidRDefault="00397202" w:rsidP="002136CA">
      <w:pPr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af-ZA"/>
        </w:rPr>
      </w:pPr>
    </w:p>
    <w:p w14:paraId="65ED4888" w14:textId="5B04742E" w:rsidR="00397202" w:rsidRDefault="00397202" w:rsidP="002136CA">
      <w:pPr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af-ZA"/>
        </w:rPr>
      </w:pPr>
    </w:p>
    <w:p w14:paraId="54E9DC54" w14:textId="351831A8" w:rsidR="00397202" w:rsidRPr="00D12454" w:rsidRDefault="00397202" w:rsidP="00397202">
      <w:pPr>
        <w:tabs>
          <w:tab w:val="left" w:pos="4260"/>
        </w:tabs>
        <w:spacing w:line="276" w:lineRule="auto"/>
        <w:ind w:firstLine="720"/>
        <w:jc w:val="both"/>
        <w:rPr>
          <w:rFonts w:ascii="GHEA Grapalat" w:hAnsi="GHEA Grapalat" w:cs="Sylfaen"/>
          <w:b/>
          <w:bCs/>
          <w:lang w:val="hy-AM"/>
        </w:rPr>
      </w:pPr>
      <w:r>
        <w:rPr>
          <w:rFonts w:ascii="GHEA Grapalat" w:hAnsi="GHEA Grapalat" w:cs="Sylfaen"/>
          <w:b/>
          <w:bCs/>
          <w:lang w:val="hy-AM"/>
        </w:rPr>
        <w:tab/>
      </w:r>
      <w:r w:rsidR="00EA0389">
        <w:rPr>
          <w:rFonts w:ascii="GHEA Grapalat" w:hAnsi="GHEA Grapalat" w:cs="Sylfaen"/>
          <w:b/>
          <w:bCs/>
          <w:lang w:val="hy-AM"/>
        </w:rPr>
        <w:pict w14:anchorId="7C35CF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7E5EE83-FECE-476D-99D6-5771BE734AA2}" provid="{00000000-0000-0000-0000-000000000000}" issignatureline="t"/>
          </v:shape>
        </w:pict>
      </w:r>
    </w:p>
    <w:p w14:paraId="78D4C2AE" w14:textId="77777777" w:rsidR="002136CA" w:rsidRDefault="002136CA" w:rsidP="002136CA">
      <w:pPr>
        <w:spacing w:line="276" w:lineRule="auto"/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14:paraId="153D73CB" w14:textId="1BCC6066" w:rsidR="002136CA" w:rsidRDefault="002136CA" w:rsidP="002136CA">
      <w:pPr>
        <w:spacing w:line="276" w:lineRule="auto"/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14:paraId="718FE505" w14:textId="77777777" w:rsidR="002136CA" w:rsidRPr="00193126" w:rsidRDefault="002136CA" w:rsidP="002136CA">
      <w:pPr>
        <w:spacing w:line="276" w:lineRule="auto"/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193126">
        <w:rPr>
          <w:rFonts w:ascii="GHEA Grapalat" w:hAnsi="GHEA Grapalat"/>
          <w:sz w:val="20"/>
          <w:szCs w:val="20"/>
          <w:lang w:val="hy-AM"/>
        </w:rPr>
        <w:t>Կատ. պետական շահերի պաշտպանության</w:t>
      </w:r>
    </w:p>
    <w:p w14:paraId="3851EC73" w14:textId="77777777" w:rsidR="002136CA" w:rsidRPr="00193126" w:rsidRDefault="002136CA" w:rsidP="002136CA">
      <w:pPr>
        <w:spacing w:line="276" w:lineRule="auto"/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193126">
        <w:rPr>
          <w:rFonts w:ascii="GHEA Grapalat" w:hAnsi="GHEA Grapalat"/>
          <w:sz w:val="20"/>
          <w:szCs w:val="20"/>
          <w:lang w:val="hy-AM"/>
        </w:rPr>
        <w:t>վարչության դատախազ Մ. Հովհաննիսյան</w:t>
      </w:r>
    </w:p>
    <w:p w14:paraId="39E8C687" w14:textId="77777777" w:rsidR="002136CA" w:rsidRPr="00193126" w:rsidRDefault="002136CA" w:rsidP="002136CA">
      <w:pPr>
        <w:spacing w:line="276" w:lineRule="auto"/>
        <w:ind w:left="142"/>
        <w:jc w:val="both"/>
        <w:rPr>
          <w:rFonts w:ascii="GHEA Grapalat" w:hAnsi="GHEA Grapalat"/>
          <w:sz w:val="20"/>
          <w:szCs w:val="20"/>
          <w:lang w:val="hy-AM"/>
        </w:rPr>
      </w:pPr>
      <w:r w:rsidRPr="00193126">
        <w:rPr>
          <w:rFonts w:ascii="GHEA Grapalat" w:hAnsi="GHEA Grapalat"/>
          <w:sz w:val="20"/>
          <w:szCs w:val="20"/>
          <w:lang w:val="hy-AM"/>
        </w:rPr>
        <w:t>հեռ. 311 702</w:t>
      </w:r>
    </w:p>
    <w:sectPr w:rsidR="002136CA" w:rsidRPr="00193126" w:rsidSect="007C0C8E"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651F5" w14:textId="77777777" w:rsidR="00A967D2" w:rsidRDefault="00A967D2" w:rsidP="002136CA">
      <w:r>
        <w:separator/>
      </w:r>
    </w:p>
  </w:endnote>
  <w:endnote w:type="continuationSeparator" w:id="0">
    <w:p w14:paraId="12013A40" w14:textId="77777777" w:rsidR="00A967D2" w:rsidRDefault="00A967D2" w:rsidP="002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C8BE0" w14:textId="77777777" w:rsidR="00A967D2" w:rsidRDefault="00A967D2" w:rsidP="002136CA">
      <w:r>
        <w:separator/>
      </w:r>
    </w:p>
  </w:footnote>
  <w:footnote w:type="continuationSeparator" w:id="0">
    <w:p w14:paraId="25A0B347" w14:textId="77777777" w:rsidR="00A967D2" w:rsidRDefault="00A967D2" w:rsidP="00213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8E"/>
    <w:rsid w:val="00052985"/>
    <w:rsid w:val="00086D9A"/>
    <w:rsid w:val="000B2E9F"/>
    <w:rsid w:val="000E2C78"/>
    <w:rsid w:val="000F5E71"/>
    <w:rsid w:val="001155A4"/>
    <w:rsid w:val="00181E2F"/>
    <w:rsid w:val="00193126"/>
    <w:rsid w:val="00206617"/>
    <w:rsid w:val="002136CA"/>
    <w:rsid w:val="00231D45"/>
    <w:rsid w:val="002800D7"/>
    <w:rsid w:val="00297D8C"/>
    <w:rsid w:val="002E2240"/>
    <w:rsid w:val="002E6BB9"/>
    <w:rsid w:val="003775B4"/>
    <w:rsid w:val="003956A9"/>
    <w:rsid w:val="00397202"/>
    <w:rsid w:val="00427BB3"/>
    <w:rsid w:val="00451AAC"/>
    <w:rsid w:val="00487EDB"/>
    <w:rsid w:val="00511FA4"/>
    <w:rsid w:val="00515DF3"/>
    <w:rsid w:val="00575FB1"/>
    <w:rsid w:val="005947F7"/>
    <w:rsid w:val="005E196B"/>
    <w:rsid w:val="005F3F90"/>
    <w:rsid w:val="00607370"/>
    <w:rsid w:val="00616EA0"/>
    <w:rsid w:val="00650085"/>
    <w:rsid w:val="00690644"/>
    <w:rsid w:val="006A6244"/>
    <w:rsid w:val="006B1AAB"/>
    <w:rsid w:val="006D22EB"/>
    <w:rsid w:val="006E69FB"/>
    <w:rsid w:val="006F543A"/>
    <w:rsid w:val="00713220"/>
    <w:rsid w:val="00771575"/>
    <w:rsid w:val="00782A8A"/>
    <w:rsid w:val="007C0C8E"/>
    <w:rsid w:val="007E7B50"/>
    <w:rsid w:val="007F3BB2"/>
    <w:rsid w:val="00837702"/>
    <w:rsid w:val="00851D1A"/>
    <w:rsid w:val="00863288"/>
    <w:rsid w:val="00875474"/>
    <w:rsid w:val="00877427"/>
    <w:rsid w:val="008E0096"/>
    <w:rsid w:val="00932969"/>
    <w:rsid w:val="00936ED7"/>
    <w:rsid w:val="00941116"/>
    <w:rsid w:val="00943345"/>
    <w:rsid w:val="00951DD2"/>
    <w:rsid w:val="00967F62"/>
    <w:rsid w:val="009A5358"/>
    <w:rsid w:val="009B2841"/>
    <w:rsid w:val="00A02CEF"/>
    <w:rsid w:val="00A1197E"/>
    <w:rsid w:val="00A22557"/>
    <w:rsid w:val="00A73792"/>
    <w:rsid w:val="00A73D3F"/>
    <w:rsid w:val="00A87DCA"/>
    <w:rsid w:val="00A91F3D"/>
    <w:rsid w:val="00A92D93"/>
    <w:rsid w:val="00A967D2"/>
    <w:rsid w:val="00AB6A2A"/>
    <w:rsid w:val="00B20288"/>
    <w:rsid w:val="00B51913"/>
    <w:rsid w:val="00B55B38"/>
    <w:rsid w:val="00B6184E"/>
    <w:rsid w:val="00B72447"/>
    <w:rsid w:val="00B949DF"/>
    <w:rsid w:val="00BB7FBF"/>
    <w:rsid w:val="00BE6351"/>
    <w:rsid w:val="00C15AA3"/>
    <w:rsid w:val="00C26201"/>
    <w:rsid w:val="00CB54DA"/>
    <w:rsid w:val="00CB75D2"/>
    <w:rsid w:val="00D05CD5"/>
    <w:rsid w:val="00D87493"/>
    <w:rsid w:val="00D95498"/>
    <w:rsid w:val="00DA657F"/>
    <w:rsid w:val="00E002BD"/>
    <w:rsid w:val="00E27077"/>
    <w:rsid w:val="00E30AB5"/>
    <w:rsid w:val="00E61AC0"/>
    <w:rsid w:val="00E92FF9"/>
    <w:rsid w:val="00EA0389"/>
    <w:rsid w:val="00EA567D"/>
    <w:rsid w:val="00EC33F2"/>
    <w:rsid w:val="00EC3EE4"/>
    <w:rsid w:val="00EC60C5"/>
    <w:rsid w:val="00F04F9E"/>
    <w:rsid w:val="00F257F1"/>
    <w:rsid w:val="00F43ED8"/>
    <w:rsid w:val="00F5518B"/>
    <w:rsid w:val="00FD37C1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6278"/>
  <w15:chartTrackingRefBased/>
  <w15:docId w15:val="{8913E9E2-33D6-4C62-9AA4-4F2265C8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="Calibri" w:hAnsi="GHEA Grapala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8E"/>
    <w:pPr>
      <w:autoSpaceDE w:val="0"/>
      <w:autoSpaceDN w:val="0"/>
      <w:adjustRightInd w:val="0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C0C8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4">
    <w:name w:val="Подзаголовок Знак"/>
    <w:link w:val="a3"/>
    <w:rsid w:val="007C0C8E"/>
    <w:rPr>
      <w:rFonts w:ascii="Cambria" w:eastAsia="Times New Roman" w:hAnsi="Cambria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0C8E"/>
    <w:rPr>
      <w:rFonts w:ascii="Tahoma" w:eastAsia="Times New Roman" w:hAnsi="Tahoma" w:cs="Tahoma"/>
      <w:sz w:val="16"/>
      <w:szCs w:val="16"/>
      <w:lang w:val="ru-RU" w:eastAsia="ru-RU"/>
    </w:rPr>
  </w:style>
  <w:style w:type="table" w:styleId="a7">
    <w:name w:val="Table Grid"/>
    <w:basedOn w:val="a1"/>
    <w:uiPriority w:val="59"/>
    <w:rsid w:val="007C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75474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136CA"/>
    <w:pPr>
      <w:autoSpaceDE/>
      <w:autoSpaceDN/>
      <w:adjustRightInd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136CA"/>
    <w:rPr>
      <w:rFonts w:asciiTheme="minorHAnsi" w:eastAsiaTheme="minorEastAsia" w:hAnsiTheme="minorHAnsi" w:cstheme="minorBidi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2136CA"/>
    <w:rPr>
      <w:vertAlign w:val="superscript"/>
    </w:rPr>
  </w:style>
  <w:style w:type="paragraph" w:styleId="ac">
    <w:name w:val="Normal (Web)"/>
    <w:basedOn w:val="a"/>
    <w:uiPriority w:val="99"/>
    <w:unhideWhenUsed/>
    <w:rsid w:val="00EC60C5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Sargsyan</dc:creator>
  <cp:keywords>https:/mul2.prosecutor.am/tasks/776964/oneclick?token=af3a897edfa86db717772382e9337316</cp:keywords>
  <cp:lastModifiedBy>User</cp:lastModifiedBy>
  <cp:revision>2</cp:revision>
  <cp:lastPrinted>2024-02-12T12:38:00Z</cp:lastPrinted>
  <dcterms:created xsi:type="dcterms:W3CDTF">2025-04-11T06:56:00Z</dcterms:created>
  <dcterms:modified xsi:type="dcterms:W3CDTF">2025-04-11T06:56:00Z</dcterms:modified>
</cp:coreProperties>
</file>