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6CC2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21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045DB8" w:rsidRPr="009B53D7" w:rsidRDefault="00646CC2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9B53D7">
        <w:rPr>
          <w:rFonts w:ascii="GHEA Grapalat" w:hAnsi="GHEA Grapalat"/>
          <w:sz w:val="24"/>
          <w:szCs w:val="24"/>
          <w:lang w:val="hy-AM"/>
        </w:rPr>
        <w:t>Աբովյան համայնքի 20</w:t>
      </w:r>
      <w:r>
        <w:rPr>
          <w:rFonts w:ascii="GHEA Grapalat" w:hAnsi="GHEA Grapalat"/>
          <w:sz w:val="24"/>
          <w:szCs w:val="24"/>
          <w:lang w:val="hy-AM"/>
        </w:rPr>
        <w:t>21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եռամսյակի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ab/>
      </w:r>
      <w:r w:rsidR="009B53D7" w:rsidRPr="009B53D7">
        <w:rPr>
          <w:rFonts w:ascii="GHEA Grapalat" w:hAnsi="GHEA Grapalat"/>
          <w:sz w:val="24"/>
          <w:szCs w:val="24"/>
          <w:lang w:val="hy-AM"/>
        </w:rPr>
        <w:br/>
      </w:r>
      <w:r w:rsidRPr="00646CC2">
        <w:rPr>
          <w:rFonts w:ascii="GHEA Grapalat" w:hAnsi="GHEA Grapalat"/>
          <w:sz w:val="24"/>
          <w:szCs w:val="24"/>
          <w:lang w:val="hy-AM"/>
        </w:rPr>
        <w:t>Աբովյան համայնքի 2021 թվականի բյուջեի 1-ին եռամսյակում  վարչական բյուջեի եկամտային  մասով նախատեսված  447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036.7 հազար  դրամի   դիմաց  փաստացի  եկամուտը  կազմել  է  460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465.7  հազար դրամ, տոկոսային  արտահայտությամբ   կատարվել է  103.0  %-ով,  իսկ տարեկան ծրագրի նկատմամբ՝  24.3  %-ով: Հաշվետու ժամանակաշրջանում գույքային հարկեր անշարժ գույքի  գծով նախատեսված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23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174.0  հազար դրամի դիմաց փաստացի եկամուտը  կազմել է 24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465.6 հազար դրամ, տոկոսային արտահայտությամբ այն կատարվել է 105.6 %-ով, գերակատարվելով՝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291.6 հազար դրամով, իսկ տարեկան պլանի նկատմամբ  կատարվել է 26.1 %-ով: Գույքային հարկեր այլ  գույքից (փոխադրամիջոցների) գծով նախատեսված 42 000.0  հազար դրամի դիմաց փաստացի եկամուտը կազմել է 68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407.1 հազար դրամ, տոկոսային արտահայտությամբ  կատարվել է 162.9 %-ով, գերակատարվելով  26 407.1  հազար դրամով, իսկ տարեկան պլանի նկատմամբ  կատարվել է 25.7 %-ով: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Տեղական տուրքերի գծով նախատեսված 9031.0 հազար դրամի դիմաց փաստացի եկամուտը  կազմել է 14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924.1 հազար դրամ, տոկոսային արտահայտությամբ  կատարվել է  165.3 %-ով,  տարեկան պլանի նկատմամբ  կատարվելով  47.2 %-ով: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>Պետական տուրքերի գծով նախատեսված 7 374.0 հազար դրամի դիմաց փաստացի եկամուտը  կազմել է  10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568.0 հազար դրամ, տոկոսային արտահայտությամբ կատարվել է  143.3  %-ով,  տարեկան պլանի նկատմամբ  կատարվելով 35.8 %-ով: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Պետական բյուջեից ֆինանսական համահարթեցման սկզբունքով տրամադրվող դոտացիայի մասով  նախատեսված 254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381.3  հազար  դրամը հատկացվել է։ Պետական բյուջեից տրամադրվող նպատակային հատկացման` սուբվենցիայի մասով  նախատեսված 2 040.0 հազար դրամի դիմաց հատկացվել  է 1 524.0  հազար դրամ: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>Գույքի վարձակալությունից եկամուտների գծով նախատեսված 6 000.0 հազար դրամի դիմաց փաստացի եկամուտը կազմել է 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060.2 հազար դրամ, տոկոսային արտահայտությամբ  կատարվել է  117.6 %-ով,  իսկ տարեկան պլանի նկատմամբ  կատարվել է 29.4 %-ով: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 xml:space="preserve">Պետության կողմից տեղական ինքնակառավարման մարմիններին պատվիրակված լիազորությունների իրականացման ծախսերի ֆինանսավորման համար հատկացվել է տարեկան պլանի </w:t>
      </w:r>
      <w:r w:rsidRPr="00646CC2">
        <w:rPr>
          <w:rFonts w:ascii="GHEA Grapalat" w:hAnsi="GHEA Grapalat"/>
          <w:sz w:val="24"/>
          <w:szCs w:val="24"/>
          <w:lang w:val="hy-AM"/>
        </w:rPr>
        <w:lastRenderedPageBreak/>
        <w:t>19.9 %-ը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646CC2">
        <w:rPr>
          <w:rFonts w:ascii="GHEA Grapalat" w:hAnsi="GHEA Grapalat"/>
          <w:sz w:val="24"/>
          <w:szCs w:val="24"/>
          <w:lang w:val="hy-AM"/>
        </w:rPr>
        <w:t>Վարչական գանձումներից ստացվող միջոցներից նախատեսված 85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152.0 հազար դրամի  դիմաց  փաստացի եկամուտը կազմել է 61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024.0 հազար դրամ, տոկոսային արտահայտությամբ այն կատարվել է  71.7 %-ով,  տարեկան պլանի նկատմամբ  կատարվել է 17.9 %-ով: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Տույժերից և տուգանքներից  նախատեսված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248.0 հազար դրամ եկամտի դիմաց  փաստացի եկամուտը կազմել է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529.7 հազար դրամ,  տարեկան պլանի նկատմամբ  կատարվելով  70.6  %-ով:Այլ եկամուտների գծով նախատեսված 16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180.7 հազար դրամ եկամտի  դիմաց փաստացի եկամուտը կազմել է 13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486.2 հազար դրամ, տոկոսային արտահայտությամբ  կատարվել է  83.3  %-ով, տարեկան պլանի նկատմամբ  կատարվելով  18.7 %-ով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646CC2">
        <w:rPr>
          <w:rFonts w:ascii="GHEA Grapalat" w:hAnsi="GHEA Grapalat"/>
          <w:sz w:val="24"/>
          <w:szCs w:val="24"/>
          <w:lang w:val="hy-AM"/>
        </w:rPr>
        <w:t>Հաշվետու   ժամանակաշրջանում  բյուջեի  ծախսային  մասով  նախատեսած 277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434.8 հազար  դրամի   դիմաց  փաստացի  ծախսը   կազմել  է 210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255.5  հազար  դրամ, այն   կատարվել  է  75.8  % -ով: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Ընդհանուր բնույթի  հանրային ծառայությունների  հատվածին հատկացվել է 57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035.1 հազար դրամ, որը կազմում է փաստացի կատարված  ծախսերի 20.6 %-ը: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Տնտեսական հարաբերությունների գծով հատվածին  հատկացվել է 1 000.0 հազար դրամ, որը կազմում է  փաստացի կատարված  ծախսերի 0.4 %-ը: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738.9 հազար դրամ, նախատեսված 111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372.0 հազար դրամի դիմաց  կատարվելով  3.4 %-ով: Շրջակա միջավայրի պաշտպանության համար  հատկացվել է 74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546.0 հազար դրամ, որը կազմում է փաստացի կատարված ծախսերի 26.9 %-ը: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Բնակարանային շինարարության և կոմունալ ծառայության  համար հատկացվել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12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180.5  հազար դրամ, որը կազմում է փաստացի կատարված  ծախսերի 4.4 %-ը:</w:t>
      </w:r>
      <w:r w:rsidRPr="00646CC2">
        <w:rPr>
          <w:rFonts w:ascii="GHEA Grapalat" w:hAnsi="GHEA Grapalat"/>
          <w:sz w:val="24"/>
          <w:szCs w:val="24"/>
          <w:lang w:val="hy-AM"/>
        </w:rPr>
        <w:br/>
        <w:t>Առողջապահության ոլորտին է հատկացվել 506.0 հազար դրամ, որը կազմում է փաստացի կատարված  ծախսերի 0.2 %-ը: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3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149.2 հազար դրամ, կազմելով փաստացի կատարված  ծախսերի 1.1 %-ը: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Նախադպրոցական հիմնարկների պահպանման  համար  հատկացվել է 85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777.7 հազար դրամ, որը կազմում է փաստացի կատարված  ծախսերի 30.9 %-ը, իսկ արտադպրոցական հիմնարկների պահպանման համար հատկացվել է 39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970.6 հազար դրամ, որը կազմում է փաստացի կատարված  ծախսերի 14.4 %-ը: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t>Սոցիալական պաշտպանություն ոլորտի  համար հաշվետու ժամանակաշրջանում  հատկացվել է 130.0 հազար դրամ: Հաշվետու  ժամանակաշրջանում  ընթացիկ  ծախսերի (վարչական բյուջե)  ֆինանսավորմանը   հատկացվել  է 268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527.1  հազար   դրամ, որը  կազմում  է   փաստացի կատարված  ծախսերի  96.8 %-ը: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46CC2">
        <w:rPr>
          <w:rFonts w:ascii="GHEA Grapalat" w:hAnsi="GHEA Grapalat"/>
          <w:sz w:val="24"/>
          <w:szCs w:val="24"/>
          <w:lang w:val="hy-AM"/>
        </w:rPr>
        <w:t>Ընթացիկ ծախսերից աշխատանքի վարձատրության հոդվածին  հատկացվել է 17.0 %-ը, ծառայությունների և ապրանքների ձեռք բերմանը՝ 3.1 %-ը։ Սուբսիդիաների տեսքով  ոչ ֆինանսական պետական (hամայնքային) կազմակերպություններին է հատկացվել համայնքի վարչական բյուջեի փաստացի կատարված ծախսերի 79.3 %-ը կամ 212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861.8  հազար դրամ։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46CC2">
        <w:rPr>
          <w:rFonts w:ascii="GHEA Grapalat" w:hAnsi="GHEA Grapalat"/>
          <w:sz w:val="24"/>
          <w:szCs w:val="24"/>
          <w:lang w:val="hy-AM"/>
        </w:rPr>
        <w:t>Հաշվետու   ժամանակաշրջանում  համայնքային  բյուջեի   ծախսերի  3.2 %-ը  կամ 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 xml:space="preserve">768.0 հազար  դրամը ուղղվել է ոչ ֆինանսական ակտիվների գծով  </w:t>
      </w:r>
      <w:r w:rsidRPr="00646CC2">
        <w:rPr>
          <w:rFonts w:ascii="GHEA Grapalat" w:hAnsi="GHEA Grapalat"/>
          <w:sz w:val="24"/>
          <w:szCs w:val="24"/>
          <w:lang w:val="hy-AM"/>
        </w:rPr>
        <w:lastRenderedPageBreak/>
        <w:t>ծախսերի   ֆինանսավորմանը, այդ  միջոցներից  1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388.0  հազար դրամը  կամ  24.1  %-ը տրամադրվել   է մեքենաներ և սարքավորումներ  ձեռք   բերելու  համար, 4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380.0 հազար դրամը կամ ֆոնդային բյուջեի ծախսերի 75.9 %-ը հատկացվել է նախագծահետազոտական աշխատանքների կատարմանը :</w:t>
      </w:r>
      <w:r w:rsidRPr="00646CC2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646CC2">
        <w:rPr>
          <w:rFonts w:ascii="GHEA Grapalat" w:hAnsi="GHEA Grapalat"/>
          <w:sz w:val="24"/>
          <w:szCs w:val="24"/>
          <w:lang w:val="hy-AM"/>
        </w:rPr>
        <w:br/>
        <w:t>Աբովյան  համայնքի   բյուջեի  պակասուրդը  (դեֆիցիտը)  կազմել է  445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135.7   հազար դրամ (տես  հատված  4):  Պակասուրդի (դեֆիցիտի)  ֆինանսավորմանն  է  ուղղվել  տարեսկզբի ազատ մնացորդը՝ 445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135.7 հազար դրամ  (տես  հատված  5), իսկ հաշվետու ժամանակաշրջանի վերջում բյուջեի հավելուրդը կազմել է 189</w:t>
      </w:r>
      <w:r w:rsidRPr="00646CC2">
        <w:rPr>
          <w:rFonts w:ascii="Courier New" w:hAnsi="Courier New" w:cs="Courier New"/>
          <w:sz w:val="24"/>
          <w:szCs w:val="24"/>
          <w:lang w:val="hy-AM"/>
        </w:rPr>
        <w:t> </w:t>
      </w:r>
      <w:r w:rsidRPr="00646CC2">
        <w:rPr>
          <w:rFonts w:ascii="GHEA Grapalat" w:hAnsi="GHEA Grapalat"/>
          <w:sz w:val="24"/>
          <w:szCs w:val="24"/>
          <w:lang w:val="hy-AM"/>
        </w:rPr>
        <w:t>909. 5  հազար դրամ: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sz w:val="24"/>
          <w:szCs w:val="24"/>
          <w:lang w:val="hy-AM"/>
        </w:rPr>
        <w:t>2021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  <w:t>Վ. ԳԵՎՈՐԳՅԱՆ</w:t>
      </w:r>
    </w:p>
    <w:sectPr w:rsidR="00AA0719" w:rsidRPr="00646CC2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3422C"/>
    <w:rsid w:val="0053792A"/>
    <w:rsid w:val="005643A9"/>
    <w:rsid w:val="00594C12"/>
    <w:rsid w:val="00646CC2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96A5-8FCC-4346-BF92-837525F8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23</cp:revision>
  <cp:lastPrinted>2021-04-08T12:19:00Z</cp:lastPrinted>
  <dcterms:created xsi:type="dcterms:W3CDTF">2016-07-14T11:53:00Z</dcterms:created>
  <dcterms:modified xsi:type="dcterms:W3CDTF">2021-04-08T12:19:00Z</dcterms:modified>
</cp:coreProperties>
</file>