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2023.11.17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ԱԲՀ-ԷԱՃԱՊՁԲ-23/45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ԱԲՀ-ԷԱՃԱՊՁԲ-23/45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2023.11.17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ԱԲՀ-ԷԱՃԱՊՁԲ-23/45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402.72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2023.11.28.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ԱԲՀ-ԷԱՃԱՊՁԲ-23/45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ԱԲՀ-ԷԱՃԱՊՁԲ-23/45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ԱԲՀ-ԷԱՃԱՊՁԲ-23/45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«ԱԲՀ-ԷԱՃԱՊՁԲ-23/45»*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ԱԲՀ-ԷԱՃԱՊՁԲ-23/45*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«ԱԲՀ-ԷԱՃԱՊՁԲ-23/45»*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ԱԲՀ-ԷԱՃԱՊՁԲ-23/45*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31-ը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էթանոլ-5 %, իզոպրոպիլ սպիրտ-10%, իզոբուտիլ սպիրտ-10%,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Պատվիրատուների կողմից ներկայացված քանակներն առավելագույնն է և այն կարող է նվազեցվել վերջիններիս կողմից: Վճարումը կատարվում է փաստացի մատակարարված ապրանքի մասով: 
Մատակարարումը համայնքի կողմից մշակված կտրոնային սիստեմով։ Կտրոնները պետք է գործածական լինեն 2023-2024 թթ.ընթացքում։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պրոպան, տրանսպորտային միջոցների ներքին այրման շարժիչներում որպես վառեիք օգտագործելու համար: Գլամոթի լիցքավորման ընթացքում բնական գազի ավելցուկ ճնշումը պետք է համապատասխանի ԱԳԼՃԿ-ի և լիցքավորվող գազագլանոթային միջոցների տեխնիկական պայմաններին և չպետք է գերազանցի 1,2 ՄՊա ճնշման սահմանը, գլանոթ լիցքավորվող գազի ջերմաստիճանից ոչ ավել քան  15° C: Պայմանական նշանները՝ «Վախենում է կրակից»: Անվտանգությունը՝ հրավտանգ, պայթունավտանգ։ Գազի լիցքավորումը՝ Աբովյան համայնքի վարչական տարածքում գտնվող գազալցակայանների միջոցով։ Մատակարարման պայմաններ՝մատակարարումը կտրոններով։Կտրոնները պետք է գործածական լինեն 2023-2024 թթ.ընթացքում։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 գազ՝ արտաքին տեսքը` մաքուր և պարզ, օկտանային թիվը որոշված հետազոտական մեթոդով` ոչ պակաս 110, խտությունը` 20 0 C ջերմաստիճանում` 860 կգ/մ3, անվտանգությունը` ըստ ՀՀ կառ. 16.06.2005թ. N 894-ն որոշմամբ հաստատված «Ներքին այրման շարժիչային վառելիքների տեխնիկական կանոնակարգի»: Գազի լիցքավորում՝ Աբովյան համայնքի վարչական տարածքում գտնվող լիցքավորման կայանի միջոցով։ Մատակարարումը համայնքի կողմից մշակված կտրոնային սիստեմով։ Կտրոնները պետք է գործածական լինեն 2023-2024 թթ.ընթացքում։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 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2023թ., կողմերի միջև կնքվող պայմանագրով սահմանված ժամկետում, ըստ պատվիրատուի պահանջի, բայց ոչ ուշ, քան տվյալ տարվա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 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2023թ., կողմերի միջև կնքվող պայմանագրով սահմանված ժամկետում, ըստ պատվիրատուի պահանջի, բայց ոչ ուշ, քան տվյալ տարվա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 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2023թ., կողմերի միջև կնքվող պայմանագրով սահմանված ժամկետում, ըստ պատվիրատուի պահանջի, բայց ոչ ուշ, քան տվյալ տարվա դեկտեմբերի 31-ը: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